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7B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Table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Baseline characteristics of the external cohort</w:t>
      </w:r>
    </w:p>
    <w:tbl>
      <w:tblPr>
        <w:tblStyle w:val="3"/>
        <w:tblW w:w="828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1657"/>
        <w:gridCol w:w="1740"/>
        <w:gridCol w:w="1665"/>
        <w:gridCol w:w="801"/>
      </w:tblGrid>
      <w:tr w14:paraId="22A0C0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425" w:type="dxa"/>
            <w:shd w:val="clear" w:color="auto" w:fill="595959" w:themeFill="text1" w:themeFillTint="A5"/>
            <w:noWrap/>
            <w:vAlign w:val="center"/>
          </w:tcPr>
          <w:p w14:paraId="291EBA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657" w:type="dxa"/>
            <w:shd w:val="clear" w:color="auto" w:fill="595959" w:themeFill="text1" w:themeFillTint="A5"/>
            <w:noWrap/>
            <w:vAlign w:val="center"/>
          </w:tcPr>
          <w:p w14:paraId="3F092F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Overall,</w:t>
            </w:r>
          </w:p>
          <w:p w14:paraId="3931DD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N=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513</w:t>
            </w:r>
          </w:p>
        </w:tc>
        <w:tc>
          <w:tcPr>
            <w:tcW w:w="1740" w:type="dxa"/>
            <w:shd w:val="clear" w:color="auto" w:fill="595959" w:themeFill="text1" w:themeFillTint="A5"/>
            <w:noWrap/>
            <w:vAlign w:val="center"/>
          </w:tcPr>
          <w:p w14:paraId="64C37A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Hydrocephalus</w:t>
            </w:r>
          </w:p>
          <w:p w14:paraId="6E9A7F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N=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39</w:t>
            </w:r>
          </w:p>
        </w:tc>
        <w:tc>
          <w:tcPr>
            <w:tcW w:w="1665" w:type="dxa"/>
            <w:shd w:val="clear" w:color="auto" w:fill="595959" w:themeFill="text1" w:themeFillTint="A5"/>
            <w:noWrap/>
            <w:vAlign w:val="center"/>
          </w:tcPr>
          <w:p w14:paraId="7B01F5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No-Hydrocephalus</w:t>
            </w:r>
          </w:p>
          <w:p w14:paraId="00B650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N=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474</w:t>
            </w:r>
          </w:p>
        </w:tc>
        <w:tc>
          <w:tcPr>
            <w:tcW w:w="801" w:type="dxa"/>
            <w:shd w:val="clear" w:color="auto" w:fill="595959" w:themeFill="text1" w:themeFillTint="A5"/>
            <w:noWrap/>
            <w:vAlign w:val="center"/>
          </w:tcPr>
          <w:p w14:paraId="439DCC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P value</w:t>
            </w:r>
          </w:p>
        </w:tc>
      </w:tr>
      <w:tr w14:paraId="70488B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EA4DFF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Age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>M (Q1, Q3)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4CA9D5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 (58,73)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4A7674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 (56,71)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96F30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 (58,74)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B4B9E1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0.155</w:t>
            </w:r>
          </w:p>
        </w:tc>
      </w:tr>
      <w:tr w14:paraId="15120C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E9FC03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Sex, female,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57EE0A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265(51.66)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3A223C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21(53.85)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2E3E2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244( 51.48)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84DD5A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0.776</w:t>
            </w:r>
          </w:p>
        </w:tc>
      </w:tr>
      <w:tr w14:paraId="310C2C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277F819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Weight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>M (Q1, Q3)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A87CE7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 (51,75)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28F398C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 (47,77)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A9C4C0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 (51,75)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7373BE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2DC8A8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E17F4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COPD, n(%)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73F8874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 (11.50)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63E4165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1(2.56)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2B9EB2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58(12.24 )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62498F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0.069</w:t>
            </w:r>
          </w:p>
        </w:tc>
      </w:tr>
      <w:tr w14:paraId="756BA4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0DF45C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Diabetes,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E90C8B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125(24.37)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F953F1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10(25.64)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849932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115(24.26 )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B9F7E4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0.847</w:t>
            </w:r>
          </w:p>
        </w:tc>
      </w:tr>
      <w:tr w14:paraId="70B18C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C13479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Hypertension,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7E75E47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261(50.88)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4290B8D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20(51.28)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140F2E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241(50.84 )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BB903F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0.958</w:t>
            </w:r>
          </w:p>
        </w:tc>
      </w:tr>
      <w:tr w14:paraId="585859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7DF0914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MI,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572B296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 (4.29)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143C215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 (5.13)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E5BF23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 (4.22)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03426F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0.788</w:t>
            </w:r>
          </w:p>
        </w:tc>
      </w:tr>
      <w:tr w14:paraId="7E4162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4AFF304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HF,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938E07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 (2.73)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6D0520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0(0)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123587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 (2.95)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4479EC5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0.276</w:t>
            </w:r>
          </w:p>
        </w:tc>
      </w:tr>
      <w:tr w14:paraId="788D74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0454153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CKD,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3BED49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 (3.51)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2EDD05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 (5.13)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B7E3B4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 (3.38)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666D20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0.567</w:t>
            </w:r>
          </w:p>
        </w:tc>
      </w:tr>
      <w:tr w14:paraId="6FC6FA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630940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Sepsis,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FD26D7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187 (36.45 )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6A2639A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 (56.41)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B79877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165 (34.81)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7BA9455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0.007</w:t>
            </w:r>
          </w:p>
        </w:tc>
      </w:tr>
      <w:tr w14:paraId="378149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7860A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IVH, n(%)</w:t>
            </w:r>
          </w:p>
        </w:tc>
        <w:tc>
          <w:tcPr>
            <w:tcW w:w="0" w:type="auto"/>
            <w:shd w:val="clear" w:color="auto" w:fill="auto"/>
          </w:tcPr>
          <w:p w14:paraId="1B0EA89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 (12.48)</w:t>
            </w:r>
          </w:p>
        </w:tc>
        <w:tc>
          <w:tcPr>
            <w:tcW w:w="0" w:type="auto"/>
            <w:shd w:val="clear" w:color="auto" w:fill="auto"/>
          </w:tcPr>
          <w:p w14:paraId="1D6F476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 (43.59)</w:t>
            </w:r>
          </w:p>
        </w:tc>
        <w:tc>
          <w:tcPr>
            <w:tcW w:w="0" w:type="auto"/>
            <w:shd w:val="clear" w:color="auto" w:fill="auto"/>
          </w:tcPr>
          <w:p w14:paraId="4BF6ED2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 (9.92)</w:t>
            </w:r>
          </w:p>
        </w:tc>
        <w:tc>
          <w:tcPr>
            <w:tcW w:w="0" w:type="auto"/>
            <w:shd w:val="clear" w:color="auto" w:fill="auto"/>
          </w:tcPr>
          <w:p w14:paraId="29F44D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419D79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F8E40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Mannitol use, n (%)</w:t>
            </w:r>
          </w:p>
        </w:tc>
        <w:tc>
          <w:tcPr>
            <w:tcW w:w="0" w:type="auto"/>
            <w:shd w:val="clear" w:color="auto" w:fill="auto"/>
          </w:tcPr>
          <w:p w14:paraId="7F45CDA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41(7.99)</w:t>
            </w:r>
          </w:p>
        </w:tc>
        <w:tc>
          <w:tcPr>
            <w:tcW w:w="0" w:type="auto"/>
            <w:shd w:val="clear" w:color="auto" w:fill="auto"/>
          </w:tcPr>
          <w:p w14:paraId="1C781CB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 (15.38)</w:t>
            </w:r>
          </w:p>
        </w:tc>
        <w:tc>
          <w:tcPr>
            <w:tcW w:w="0" w:type="auto"/>
            <w:shd w:val="clear" w:color="auto" w:fill="auto"/>
          </w:tcPr>
          <w:p w14:paraId="2E81202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 (7.38)</w:t>
            </w:r>
          </w:p>
        </w:tc>
        <w:tc>
          <w:tcPr>
            <w:tcW w:w="0" w:type="auto"/>
            <w:shd w:val="clear" w:color="auto" w:fill="auto"/>
          </w:tcPr>
          <w:p w14:paraId="4E4A0B0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0.077</w:t>
            </w:r>
          </w:p>
        </w:tc>
      </w:tr>
      <w:tr w14:paraId="0AB590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193CA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Mechanical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ventilation , n (%)</w:t>
            </w:r>
          </w:p>
        </w:tc>
        <w:tc>
          <w:tcPr>
            <w:tcW w:w="0" w:type="auto"/>
            <w:shd w:val="clear" w:color="auto" w:fill="auto"/>
          </w:tcPr>
          <w:p w14:paraId="0E09CDE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340 (66.28</w:t>
            </w:r>
          </w:p>
        </w:tc>
        <w:tc>
          <w:tcPr>
            <w:tcW w:w="0" w:type="auto"/>
            <w:shd w:val="clear" w:color="auto" w:fill="auto"/>
          </w:tcPr>
          <w:p w14:paraId="7E2A24A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 (89.74)</w:t>
            </w:r>
          </w:p>
        </w:tc>
        <w:tc>
          <w:tcPr>
            <w:tcW w:w="0" w:type="auto"/>
            <w:shd w:val="clear" w:color="auto" w:fill="auto"/>
          </w:tcPr>
          <w:p w14:paraId="6380A9E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305 (64.35 )</w:t>
            </w:r>
          </w:p>
        </w:tc>
        <w:tc>
          <w:tcPr>
            <w:tcW w:w="0" w:type="auto"/>
            <w:shd w:val="clear" w:color="auto" w:fill="auto"/>
          </w:tcPr>
          <w:p w14:paraId="055BF97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0.001</w:t>
            </w:r>
          </w:p>
        </w:tc>
      </w:tr>
      <w:tr w14:paraId="038136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EA964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Mean SpO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>M (Q1, Q3)</w:t>
            </w:r>
          </w:p>
        </w:tc>
        <w:tc>
          <w:tcPr>
            <w:tcW w:w="0" w:type="auto"/>
            <w:shd w:val="clear" w:color="auto" w:fill="auto"/>
          </w:tcPr>
          <w:p w14:paraId="0201873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 (95,97)</w:t>
            </w:r>
          </w:p>
        </w:tc>
        <w:tc>
          <w:tcPr>
            <w:tcW w:w="0" w:type="auto"/>
            <w:shd w:val="clear" w:color="auto" w:fill="auto"/>
          </w:tcPr>
          <w:p w14:paraId="50C2D6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 (95,97)</w:t>
            </w:r>
          </w:p>
        </w:tc>
        <w:tc>
          <w:tcPr>
            <w:tcW w:w="0" w:type="auto"/>
            <w:shd w:val="clear" w:color="auto" w:fill="auto"/>
          </w:tcPr>
          <w:p w14:paraId="55B28F3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 (95,97)</w:t>
            </w:r>
          </w:p>
        </w:tc>
        <w:tc>
          <w:tcPr>
            <w:tcW w:w="0" w:type="auto"/>
            <w:shd w:val="clear" w:color="auto" w:fill="auto"/>
          </w:tcPr>
          <w:p w14:paraId="3BFEB94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0.029</w:t>
            </w:r>
          </w:p>
        </w:tc>
      </w:tr>
      <w:tr w14:paraId="64150C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C5CDF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SHR</w:t>
            </w:r>
          </w:p>
        </w:tc>
        <w:tc>
          <w:tcPr>
            <w:tcW w:w="0" w:type="auto"/>
            <w:shd w:val="clear" w:color="auto" w:fill="auto"/>
          </w:tcPr>
          <w:p w14:paraId="6BFD614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1.11(0.82,1.38)</w:t>
            </w:r>
          </w:p>
        </w:tc>
        <w:tc>
          <w:tcPr>
            <w:tcW w:w="0" w:type="auto"/>
            <w:shd w:val="clear" w:color="auto" w:fill="auto"/>
          </w:tcPr>
          <w:p w14:paraId="71C38DA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1.30(1.13,1.45)</w:t>
            </w:r>
          </w:p>
        </w:tc>
        <w:tc>
          <w:tcPr>
            <w:tcW w:w="0" w:type="auto"/>
            <w:shd w:val="clear" w:color="auto" w:fill="auto"/>
          </w:tcPr>
          <w:p w14:paraId="04D9CA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1.07 (0.79,0.37)</w:t>
            </w:r>
          </w:p>
        </w:tc>
        <w:tc>
          <w:tcPr>
            <w:tcW w:w="0" w:type="auto"/>
            <w:shd w:val="clear" w:color="auto" w:fill="auto"/>
          </w:tcPr>
          <w:p w14:paraId="51758E0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</w:tbl>
    <w:p w14:paraId="137D3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</w:p>
    <w:p w14:paraId="1F369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Continuous variables were expressed as mean ± standard deviation (SD) for normally distributed variables, median (IQR) for non-normally distributed continuous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variables, and numbers (%) for categorical variables. </w:t>
      </w:r>
    </w:p>
    <w:p w14:paraId="27C66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M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 Median; </w:t>
      </w:r>
      <w:r>
        <w:rPr>
          <w:rFonts w:hint="eastAsia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Q1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 1st Quartile; </w:t>
      </w:r>
      <w:r>
        <w:rPr>
          <w:rFonts w:hint="eastAsia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Q3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 3st Quartile;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COPD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bstructive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ulmonary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isease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MI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M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yocardial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nfarction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HF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H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F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ailure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CKD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K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idney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isease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IVH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Intraventricular Hemorrhage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SpO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eripheral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xygen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aturation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;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SHR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18"/>
          <w:szCs w:val="18"/>
          <w:lang w:val="en-US" w:eastAsia="zh-CN"/>
        </w:rPr>
        <w:t>Stress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Hyperglycemia Ratio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>.</w:t>
      </w:r>
    </w:p>
    <w:p w14:paraId="2937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C7DBF"/>
    <w:rsid w:val="26BC7DBF"/>
    <w:rsid w:val="3A732250"/>
    <w:rsid w:val="68F6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宋体" w:asciiTheme="minorAscii" w:hAnsiTheme="minorAscii"/>
      <w:b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1190</Characters>
  <Lines>0</Lines>
  <Paragraphs>0</Paragraphs>
  <TotalTime>31</TotalTime>
  <ScaleCrop>false</ScaleCrop>
  <LinksUpToDate>false</LinksUpToDate>
  <CharactersWithSpaces>1330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2025-08-19T11:40:00Z</dcterms:created>
  <dc:creator>赵爽</dc:creator>
  <cp:lastModifiedBy>赵爽</cp:lastModifiedBy>
  <dcterms:modified xsi:type="dcterms:W3CDTF">2025-09-13T10:04:46Z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1298FABDF2434C39AF09DDDA7B432DF2_11</vt:lpwstr>
  </property>
  <property fmtid="{D5CDD505-2E9C-101B-9397-08002B2CF9AE}" pid="4" name="KSOTemplateDocerSaveRecord">
    <vt:lpwstr>eyJoZGlkIjoiMzEwNTM5NzYwMDRjMzkwZTVkZjY2ODkwMGIxNGU0OTUiLCJ1c2VySWQiOiIyMzEwNDI1MDQifQ==</vt:lpwstr>
  </property>
</Properties>
</file>